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1" w:rsidRPr="001E5C71" w:rsidRDefault="00464615" w:rsidP="001E5C71">
      <w:pPr>
        <w:pStyle w:val="Heading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2pt;margin-top:0;width:533.85pt;height:17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BEIgIAAB4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" stroked="f">
            <v:textbox>
              <w:txbxContent>
                <w:p w:rsidR="00E505D3" w:rsidRDefault="00E505D3" w:rsidP="00E505D3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974215" cy="817123"/>
                        <wp:effectExtent l="0" t="0" r="6985" b="2540"/>
                        <wp:docPr id="2" name="Picture 3">
                          <a:extLst xmlns:a="http://schemas.openxmlformats.org/drawingml/2006/main"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49AD0DC-BB63-40E8-8115-BDC752EB4B9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49AD0DC-BB63-40E8-8115-BDC752EB4B9B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7" cstate="print"/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91725" cy="8243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651510" cy="651510"/>
                        <wp:effectExtent l="0" t="0" r="0" b="0"/>
                        <wp:docPr id="5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651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38885" cy="502920"/>
                        <wp:effectExtent l="0" t="0" r="0" b="0"/>
                        <wp:docPr id="8" name="Picture 2" descr="https://intranet.pobal.ie/CorporateServices/Communications/Pobal%20brand%20logos/POBAL%20Logo(new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https://intranet.pobal.ie/CorporateServices/Communications/Pobal%20brand%20logos/POBAL%20Logo(new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03960" cy="549370"/>
                        <wp:effectExtent l="0" t="0" r="0" b="3175"/>
                        <wp:docPr id="9" name="Picture 1" descr="Department of Heal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Department of Health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830" cy="560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5D3" w:rsidRDefault="00E505D3" w:rsidP="00E505D3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860040" cy="1050290"/>
                        <wp:effectExtent l="0" t="0" r="0" b="0"/>
                        <wp:docPr id="10" name="Picture 10" descr="Image result for galway city partner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alway city partner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418307" cy="838078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mmunity-Forum-2015 slightly croppe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28" cy="88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E5C71" w:rsidRPr="001E5C71">
        <w:rPr>
          <w:b/>
        </w:rPr>
        <w:t xml:space="preserve">Healthy Galway City </w:t>
      </w:r>
      <w:r w:rsidR="006E5C75">
        <w:rPr>
          <w:b/>
        </w:rPr>
        <w:t>Needs Analysis and Strategic Plan</w:t>
      </w:r>
    </w:p>
    <w:p w:rsidR="001E5C71" w:rsidRDefault="001E5C71" w:rsidP="001E5C71">
      <w:pPr>
        <w:pStyle w:val="Heading1"/>
      </w:pPr>
      <w:r>
        <w:t>Background</w:t>
      </w:r>
    </w:p>
    <w:p w:rsidR="001E5C71" w:rsidRDefault="001E5C71" w:rsidP="001E5C71">
      <w:r>
        <w:t>Healthy Ireland, A Framework for Improved Health and Wellbeing 201</w:t>
      </w:r>
      <w:r w:rsidR="003906C3">
        <w:t>8</w:t>
      </w:r>
      <w:r>
        <w:t>-2021 is the national framework for action to improve the health and wellbeing of Ireland over the coming generation.</w:t>
      </w:r>
    </w:p>
    <w:p w:rsidR="001E5C71" w:rsidRDefault="001E5C71" w:rsidP="001E5C71">
      <w:r>
        <w:t>Healthy Ireland has created a fund that was open to Local Community Development Committees. The primary aim of the fund is to support innovative, cross-sectoral, evidence-based projects and initiatives that support the implementation of key national policies in areas such as obesity, smoking, alcohol, physical activity and sexual health.</w:t>
      </w:r>
    </w:p>
    <w:p w:rsidR="001E5C71" w:rsidRDefault="001E5C71" w:rsidP="001E5C71">
      <w:r>
        <w:t>The objectives of the initial stages of the Fund are: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raise awareness of, and support for, Healthy Ireland through the funding of community-based and national health promotion activities.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facilitate and resource cross-sectoral and partnership networks that promote health and well-being.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resource the development of locally-led, cross-sectoral strategies promoting health and wellbeing.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add value to existing health promotion initiatives through the provision of Healthy Ireland resources.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support the health and wellbeing of the most disadvantaged groups and areas and those experiencing significant health inequalities through long-term planning.</w:t>
      </w:r>
    </w:p>
    <w:p w:rsidR="001E5C71" w:rsidRDefault="001E5C71">
      <w:r>
        <w:t xml:space="preserve">The Local Community Development Committee and Galway City Community Network, the Public Participation Network in Galway City, facilitated the development of a strategic approach to the Healthy Ireland application. The LCDC was successful in its application to the Healthy Ireland Fund. </w:t>
      </w:r>
      <w:r w:rsidRPr="001E5C71">
        <w:rPr>
          <w:b/>
        </w:rPr>
        <w:t>Healthy Galwa</w:t>
      </w:r>
      <w:r>
        <w:rPr>
          <w:b/>
        </w:rPr>
        <w:t>y Cit</w:t>
      </w:r>
      <w:r w:rsidRPr="001E5C71">
        <w:rPr>
          <w:b/>
        </w:rPr>
        <w:t>y</w:t>
      </w:r>
      <w:r>
        <w:t xml:space="preserve"> is based on the concept promoted by Healthy Ireland that aims to promote a comprehensive and whole system approach to planning for health and wellbeing. </w:t>
      </w:r>
    </w:p>
    <w:p w:rsidR="006E5C75" w:rsidRDefault="001E5C71" w:rsidP="001E5C71">
      <w:pPr>
        <w:pStyle w:val="Heading1"/>
      </w:pPr>
      <w:r>
        <w:t>Healthy Galway</w:t>
      </w:r>
      <w:r w:rsidR="006E5C75">
        <w:t xml:space="preserve"> City Strategic Plan</w:t>
      </w:r>
    </w:p>
    <w:p w:rsidR="006E5C75" w:rsidRDefault="006E5C75" w:rsidP="006E5C75">
      <w:pPr>
        <w:rPr>
          <w:lang w:eastAsia="en-IE"/>
        </w:rPr>
      </w:pPr>
      <w:r>
        <w:rPr>
          <w:lang w:eastAsia="en-IE"/>
        </w:rPr>
        <w:t xml:space="preserve">On behalf of </w:t>
      </w:r>
      <w:r w:rsidRPr="0031531C">
        <w:rPr>
          <w:lang w:eastAsia="en-IE"/>
        </w:rPr>
        <w:t>Healthy Galway City</w:t>
      </w:r>
      <w:r>
        <w:rPr>
          <w:lang w:eastAsia="en-IE"/>
        </w:rPr>
        <w:t>,</w:t>
      </w:r>
      <w:r w:rsidRPr="0031531C">
        <w:rPr>
          <w:lang w:eastAsia="en-IE"/>
        </w:rPr>
        <w:t xml:space="preserve"> </w:t>
      </w:r>
      <w:r>
        <w:rPr>
          <w:lang w:eastAsia="en-IE"/>
        </w:rPr>
        <w:t xml:space="preserve">Galway City Partnership </w:t>
      </w:r>
      <w:r w:rsidRPr="0031531C">
        <w:rPr>
          <w:lang w:eastAsia="en-IE"/>
        </w:rPr>
        <w:t>is seeking to engage a suitably qualified consultant to undertake a needs analysis and</w:t>
      </w:r>
      <w:r>
        <w:rPr>
          <w:lang w:eastAsia="en-IE"/>
        </w:rPr>
        <w:t xml:space="preserve"> develop a strategic plan for Galway Healthy City. The process will</w:t>
      </w:r>
      <w:r w:rsidRPr="0031531C">
        <w:rPr>
          <w:lang w:eastAsia="en-IE"/>
        </w:rPr>
        <w:t xml:space="preserve"> build on the initial Healthy Galway City strategy to develop a longer-term strategy to </w:t>
      </w:r>
      <w:r w:rsidRPr="0031531C">
        <w:rPr>
          <w:lang w:eastAsia="en-IE"/>
        </w:rPr>
        <w:lastRenderedPageBreak/>
        <w:t>ensure Galway is a city where everyone can enjoy physical and mental health and wellbeing to their full potential.</w:t>
      </w:r>
    </w:p>
    <w:p w:rsidR="006E5C75" w:rsidRDefault="006E5C75" w:rsidP="006E5C75">
      <w:pPr>
        <w:rPr>
          <w:lang w:eastAsia="en-IE"/>
        </w:rPr>
      </w:pPr>
      <w:r w:rsidRPr="0031531C">
        <w:rPr>
          <w:lang w:eastAsia="en-IE"/>
        </w:rPr>
        <w:t>The process of developing the strategy will be based on a cross-sectoral, interagency, partnership approach that will encourage organisations and agencies to work in partnership to address health inequalities in Galway City. The process will be collaborative and will include a significant, robust consultation process to identify local priority needs and develop strategies to address them under the framework of Healthy Ireland and its sub-strategies</w:t>
      </w:r>
      <w:r>
        <w:rPr>
          <w:lang w:eastAsia="en-IE"/>
        </w:rPr>
        <w:t>. The successful applicant will be required to demonstrate a range of methodologies and consultation processes that will deliver on this objective.</w:t>
      </w:r>
    </w:p>
    <w:p w:rsidR="006E5C75" w:rsidRDefault="006E5C75" w:rsidP="006E5C75">
      <w:pPr>
        <w:pStyle w:val="Heading1"/>
      </w:pPr>
      <w:r>
        <w:t>Aim</w:t>
      </w:r>
    </w:p>
    <w:p w:rsidR="006E5C75" w:rsidRDefault="006E5C75" w:rsidP="006E5C75">
      <w:r>
        <w:t xml:space="preserve">The aim of the project </w:t>
      </w:r>
      <w:r w:rsidR="00C45FDA">
        <w:t>is to develop a robust strategic plan for Healthy Galway City that is underpinned by a robust needs analysis. To that end, the consultant will:</w:t>
      </w:r>
    </w:p>
    <w:p w:rsidR="00C45FDA" w:rsidRDefault="00C45FDA" w:rsidP="006E5C75">
      <w:pPr>
        <w:pStyle w:val="Heading1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Carry out a policy analysis that will provide the framework for the strategic plan;</w:t>
      </w:r>
    </w:p>
    <w:p w:rsidR="006E5C75" w:rsidRDefault="00C45FDA" w:rsidP="00C45FDA">
      <w:pPr>
        <w:pStyle w:val="Heading1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E5C75" w:rsidRPr="006E5C7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arry out a </w:t>
      </w:r>
      <w:r w:rsidR="006E5C7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significant collaborative and robust </w:t>
      </w:r>
      <w:r w:rsidR="006E5C75" w:rsidRPr="006E5C7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needs analysis of health and wellbeing in </w:t>
      </w:r>
      <w:r w:rsidR="006E5C75">
        <w:rPr>
          <w:rFonts w:asciiTheme="minorHAnsi" w:eastAsiaTheme="minorHAnsi" w:hAnsiTheme="minorHAnsi" w:cstheme="minorBidi"/>
          <w:color w:val="auto"/>
          <w:sz w:val="22"/>
          <w:szCs w:val="22"/>
        </w:rPr>
        <w:t>Galway City, with particular reference to marginalised communities. This will include secondary and primary methods of data gathering and analysis;</w:t>
      </w:r>
    </w:p>
    <w:p w:rsidR="00C45FDA" w:rsidRPr="00C45FDA" w:rsidRDefault="00C45FDA" w:rsidP="00C45FDA">
      <w:pPr>
        <w:pStyle w:val="ListParagraph"/>
        <w:numPr>
          <w:ilvl w:val="0"/>
          <w:numId w:val="11"/>
        </w:numPr>
      </w:pPr>
      <w:r>
        <w:t>Map existing health and wellbeing initiatives and identify gaps;</w:t>
      </w:r>
    </w:p>
    <w:p w:rsidR="006E5C75" w:rsidRDefault="00C45FDA" w:rsidP="006E5C75">
      <w:pPr>
        <w:pStyle w:val="ListParagraph"/>
        <w:numPr>
          <w:ilvl w:val="0"/>
          <w:numId w:val="11"/>
        </w:numPr>
      </w:pPr>
      <w:r>
        <w:t>D</w:t>
      </w:r>
      <w:r w:rsidR="006E5C75">
        <w:t>esign and deliver a series of strategic planning workshops;</w:t>
      </w:r>
    </w:p>
    <w:p w:rsidR="006E5C75" w:rsidRDefault="00C45FDA" w:rsidP="006E5C75">
      <w:pPr>
        <w:pStyle w:val="ListParagraph"/>
        <w:numPr>
          <w:ilvl w:val="0"/>
          <w:numId w:val="11"/>
        </w:numPr>
      </w:pPr>
      <w:r>
        <w:t>P</w:t>
      </w:r>
      <w:r w:rsidR="006E5C75">
        <w:t>roduce a strategic plan that is underpinned by a report of the needs analysis;</w:t>
      </w:r>
    </w:p>
    <w:p w:rsidR="0041631F" w:rsidRDefault="0041631F" w:rsidP="006E5C75">
      <w:pPr>
        <w:pStyle w:val="ListParagraph"/>
        <w:numPr>
          <w:ilvl w:val="0"/>
          <w:numId w:val="11"/>
        </w:numPr>
      </w:pPr>
      <w:r>
        <w:t>Produce an implementation plan with costed actions and deliverables.</w:t>
      </w:r>
    </w:p>
    <w:p w:rsidR="006E5C75" w:rsidRDefault="006E5C75" w:rsidP="006E5C75">
      <w:r>
        <w:t>The consultant will be expected to:</w:t>
      </w:r>
    </w:p>
    <w:p w:rsidR="006E5C75" w:rsidRDefault="006E5C75" w:rsidP="006E5C75">
      <w:pPr>
        <w:pStyle w:val="ListParagraph"/>
        <w:numPr>
          <w:ilvl w:val="0"/>
          <w:numId w:val="12"/>
        </w:numPr>
      </w:pPr>
      <w:r>
        <w:t>Report to the Steering Committee on a regular basis;</w:t>
      </w:r>
    </w:p>
    <w:p w:rsidR="006E5C75" w:rsidRDefault="006E5C75" w:rsidP="006E5C75">
      <w:pPr>
        <w:pStyle w:val="ListParagraph"/>
        <w:numPr>
          <w:ilvl w:val="0"/>
          <w:numId w:val="12"/>
        </w:numPr>
      </w:pPr>
      <w:r>
        <w:t xml:space="preserve">Provide a draft report of the needs analysis </w:t>
      </w:r>
      <w:r w:rsidR="00C45FDA">
        <w:t xml:space="preserve">and strategic plan </w:t>
      </w:r>
      <w:r>
        <w:t>for comment;</w:t>
      </w:r>
    </w:p>
    <w:p w:rsidR="006E5C75" w:rsidRPr="006E5C75" w:rsidRDefault="006E5C75" w:rsidP="006E5C75">
      <w:pPr>
        <w:pStyle w:val="ListParagraph"/>
        <w:numPr>
          <w:ilvl w:val="0"/>
          <w:numId w:val="12"/>
        </w:numPr>
      </w:pPr>
      <w:r>
        <w:t>Incorporate the comments into a final report</w:t>
      </w:r>
      <w:r w:rsidR="00C45FDA">
        <w:t xml:space="preserve"> and plan.</w:t>
      </w:r>
    </w:p>
    <w:p w:rsidR="006E5C75" w:rsidRDefault="006E5C75" w:rsidP="006E5C75">
      <w:pPr>
        <w:pStyle w:val="Heading1"/>
      </w:pPr>
      <w:r>
        <w:t>Anticipated methodology</w:t>
      </w:r>
    </w:p>
    <w:p w:rsidR="006E5C75" w:rsidRDefault="006E5C75" w:rsidP="006E5C75">
      <w:r>
        <w:t>It is anticipated that the consultant will use a range of methodologies including: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Secondary research;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Policy analysis;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Surveys</w:t>
      </w:r>
      <w:r w:rsidR="00E505D3">
        <w:t>, including on-line surveys</w:t>
      </w:r>
      <w:r>
        <w:t>;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Interviews;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Focus Groups;</w:t>
      </w:r>
    </w:p>
    <w:p w:rsidR="006E5C75" w:rsidRDefault="006E5C75" w:rsidP="006E5C75">
      <w:pPr>
        <w:pStyle w:val="ListParagraph"/>
        <w:numPr>
          <w:ilvl w:val="0"/>
          <w:numId w:val="11"/>
        </w:numPr>
      </w:pPr>
      <w:r>
        <w:t>Strategic Planning workshops</w:t>
      </w:r>
      <w:r w:rsidR="0041631F">
        <w:t>.</w:t>
      </w:r>
    </w:p>
    <w:p w:rsidR="0041631F" w:rsidRPr="006E5C75" w:rsidRDefault="0041631F" w:rsidP="0041631F">
      <w:r>
        <w:t>The consultant will be expected to be mindful of the need to ensure buy-in from a range of actors and stakeholders and to construct a process that will deliver this.</w:t>
      </w:r>
    </w:p>
    <w:p w:rsidR="006E5C75" w:rsidRDefault="005A013E" w:rsidP="005A013E">
      <w:pPr>
        <w:pStyle w:val="Heading2"/>
      </w:pPr>
      <w:r>
        <w:t>Person Specification</w:t>
      </w:r>
    </w:p>
    <w:p w:rsidR="005A013E" w:rsidRDefault="005A013E" w:rsidP="006E5C75">
      <w:r>
        <w:t>The successful consultant will be required to demonstrate or provide evidence of the following:</w:t>
      </w:r>
    </w:p>
    <w:p w:rsidR="001A6231" w:rsidRDefault="005A013E" w:rsidP="005A013E">
      <w:pPr>
        <w:pStyle w:val="ListParagraph"/>
        <w:numPr>
          <w:ilvl w:val="0"/>
          <w:numId w:val="15"/>
        </w:numPr>
      </w:pPr>
      <w:r>
        <w:t xml:space="preserve">Excellent social research skills including the ability to design, analyse and present </w:t>
      </w:r>
      <w:r w:rsidR="001A6231">
        <w:t>primary and secondary qualitative and quantitative data and information;</w:t>
      </w:r>
    </w:p>
    <w:p w:rsidR="005A013E" w:rsidRDefault="005A013E" w:rsidP="005A013E">
      <w:pPr>
        <w:pStyle w:val="ListParagraph"/>
        <w:numPr>
          <w:ilvl w:val="0"/>
          <w:numId w:val="15"/>
        </w:numPr>
      </w:pPr>
      <w:r>
        <w:t>Excellent facilitation skills;</w:t>
      </w:r>
    </w:p>
    <w:p w:rsidR="005A013E" w:rsidRDefault="005A013E" w:rsidP="005A013E">
      <w:pPr>
        <w:pStyle w:val="ListParagraph"/>
        <w:numPr>
          <w:ilvl w:val="0"/>
          <w:numId w:val="15"/>
        </w:numPr>
      </w:pPr>
      <w:r>
        <w:t>An understanding and appreciation of the issues and needs confronting communities and their health and wellbeing needs;</w:t>
      </w:r>
    </w:p>
    <w:p w:rsidR="005A013E" w:rsidRDefault="005A013E" w:rsidP="005A013E">
      <w:pPr>
        <w:pStyle w:val="ListParagraph"/>
        <w:numPr>
          <w:ilvl w:val="0"/>
          <w:numId w:val="15"/>
        </w:numPr>
      </w:pPr>
      <w:r>
        <w:lastRenderedPageBreak/>
        <w:t>Knowledge of government policy as it relates to health and wellbeing;</w:t>
      </w:r>
    </w:p>
    <w:p w:rsidR="001A6231" w:rsidRDefault="001A6231" w:rsidP="005A013E">
      <w:pPr>
        <w:pStyle w:val="ListParagraph"/>
        <w:numPr>
          <w:ilvl w:val="0"/>
          <w:numId w:val="15"/>
        </w:numPr>
      </w:pPr>
      <w:r>
        <w:t>Excellent presentation skills.</w:t>
      </w:r>
    </w:p>
    <w:p w:rsidR="005A013E" w:rsidRDefault="005A013E" w:rsidP="005A013E">
      <w:pPr>
        <w:pStyle w:val="ListParagraph"/>
        <w:numPr>
          <w:ilvl w:val="0"/>
          <w:numId w:val="15"/>
        </w:numPr>
      </w:pPr>
      <w:r>
        <w:t>Good interpersonal &amp; organisational skills</w:t>
      </w:r>
      <w:r w:rsidR="001A6231">
        <w:t>.</w:t>
      </w:r>
    </w:p>
    <w:p w:rsidR="001A6231" w:rsidRDefault="001A6231" w:rsidP="001A6231">
      <w:pPr>
        <w:pStyle w:val="Heading1"/>
      </w:pPr>
      <w:r>
        <w:t>Applications</w:t>
      </w:r>
    </w:p>
    <w:p w:rsidR="001A6231" w:rsidRDefault="001A6231" w:rsidP="001A6231">
      <w:r>
        <w:t>Please set out clearly:</w:t>
      </w:r>
    </w:p>
    <w:p w:rsidR="00E505D3" w:rsidRDefault="00E505D3" w:rsidP="00E505D3">
      <w:pPr>
        <w:pStyle w:val="ListParagraph"/>
        <w:numPr>
          <w:ilvl w:val="0"/>
          <w:numId w:val="15"/>
        </w:numPr>
      </w:pPr>
      <w:r>
        <w:t>A detailed project plan to ensure the objectives of the project are achieved in a way that ensures ownership and buy-in by stakeholders;</w:t>
      </w:r>
    </w:p>
    <w:p w:rsidR="00E505D3" w:rsidRDefault="00E505D3" w:rsidP="00E505D3">
      <w:pPr>
        <w:pStyle w:val="ListParagraph"/>
        <w:numPr>
          <w:ilvl w:val="0"/>
          <w:numId w:val="15"/>
        </w:numPr>
      </w:pPr>
      <w:r>
        <w:t>Details of previous, similar work undertaken and reference sites, including a CV of the individual/s making the proposal;</w:t>
      </w:r>
    </w:p>
    <w:p w:rsidR="00E505D3" w:rsidRDefault="001A6231" w:rsidP="00E505D3">
      <w:pPr>
        <w:pStyle w:val="ListParagraph"/>
        <w:numPr>
          <w:ilvl w:val="0"/>
          <w:numId w:val="15"/>
        </w:numPr>
      </w:pPr>
      <w:r>
        <w:t>Costing inclusive of all incidental expenses (including travel and subsistence costs) and VAT if applicable.</w:t>
      </w:r>
      <w:r w:rsidR="00E505D3">
        <w:t xml:space="preserve"> Please i</w:t>
      </w:r>
      <w:r>
        <w:t>ndicate the cost per day, the total number of days, and the number of days for each stage.</w:t>
      </w:r>
    </w:p>
    <w:p w:rsidR="001A6231" w:rsidRDefault="00E505D3" w:rsidP="00E505D3">
      <w:pPr>
        <w:pStyle w:val="ListParagraph"/>
        <w:numPr>
          <w:ilvl w:val="0"/>
          <w:numId w:val="15"/>
        </w:numPr>
      </w:pPr>
      <w:r>
        <w:t>T</w:t>
      </w:r>
      <w:r w:rsidR="001A6231">
        <w:t>he time frame for completion of the project as a whole.</w:t>
      </w:r>
    </w:p>
    <w:p w:rsidR="0041631F" w:rsidRDefault="0041631F" w:rsidP="0041631F">
      <w:pPr>
        <w:pStyle w:val="Heading2"/>
      </w:pPr>
      <w:r>
        <w:t>Budget</w:t>
      </w:r>
    </w:p>
    <w:p w:rsidR="0041631F" w:rsidRDefault="0041631F" w:rsidP="0041631F">
      <w:r>
        <w:t>A budget of no more than €8,000, including per diem costs, travel and subsistence, VAT and all incidental costs is available. Payment will be made in instalments, subject to invoices, based on a schedule to be agreed with the successful bidder(s).</w:t>
      </w:r>
    </w:p>
    <w:p w:rsidR="0041631F" w:rsidRDefault="0041631F" w:rsidP="0041631F">
      <w:r w:rsidRPr="0041631F">
        <w:rPr>
          <w:rStyle w:val="Heading2Char"/>
        </w:rPr>
        <w:t>Timescale</w:t>
      </w:r>
    </w:p>
    <w:p w:rsidR="0041631F" w:rsidRDefault="0041631F" w:rsidP="0041631F">
      <w:r>
        <w:t xml:space="preserve">The timescale for the work will commence on award of the contract and completed and finished by </w:t>
      </w:r>
      <w:r w:rsidR="00FF47A8">
        <w:t>March 30</w:t>
      </w:r>
      <w:r w:rsidR="00FF47A8" w:rsidRPr="00FF47A8">
        <w:rPr>
          <w:vertAlign w:val="superscript"/>
        </w:rPr>
        <w:t>th</w:t>
      </w:r>
      <w:r w:rsidR="00FF47A8">
        <w:t xml:space="preserve"> 2018</w:t>
      </w:r>
      <w:r>
        <w:t>. The following interim outputs are expected:</w:t>
      </w:r>
    </w:p>
    <w:p w:rsidR="0041631F" w:rsidRDefault="0041631F" w:rsidP="0041631F">
      <w:pPr>
        <w:pStyle w:val="ListParagraph"/>
        <w:numPr>
          <w:ilvl w:val="0"/>
          <w:numId w:val="14"/>
        </w:numPr>
      </w:pPr>
      <w:r>
        <w:t xml:space="preserve">the provision of an interim report by </w:t>
      </w:r>
      <w:r w:rsidR="00FF47A8">
        <w:t>February 23</w:t>
      </w:r>
      <w:r w:rsidR="00FF47A8" w:rsidRPr="00FF47A8">
        <w:rPr>
          <w:vertAlign w:val="superscript"/>
        </w:rPr>
        <w:t>rd</w:t>
      </w:r>
      <w:r w:rsidR="00FF47A8">
        <w:t xml:space="preserve"> 2018</w:t>
      </w:r>
    </w:p>
    <w:p w:rsidR="00877F02" w:rsidRPr="00877F02" w:rsidRDefault="0041631F" w:rsidP="00877F02">
      <w:pPr>
        <w:pStyle w:val="ListParagraph"/>
        <w:numPr>
          <w:ilvl w:val="0"/>
          <w:numId w:val="14"/>
        </w:numPr>
      </w:pPr>
      <w:r>
        <w:t xml:space="preserve">final report ready for publishing by </w:t>
      </w:r>
      <w:r w:rsidR="00FF47A8">
        <w:t>March 30</w:t>
      </w:r>
      <w:r w:rsidR="00FF47A8" w:rsidRPr="00FF47A8">
        <w:rPr>
          <w:vertAlign w:val="superscript"/>
        </w:rPr>
        <w:t>th</w:t>
      </w:r>
      <w:r w:rsidR="00FF47A8">
        <w:t xml:space="preserve"> 2018</w:t>
      </w:r>
    </w:p>
    <w:p w:rsidR="00877F02" w:rsidRDefault="00E505D3" w:rsidP="00877F02">
      <w:pPr>
        <w:pStyle w:val="Heading2"/>
      </w:pPr>
      <w:r>
        <w:t>Assessment of Tender</w:t>
      </w:r>
    </w:p>
    <w:p w:rsidR="00E505D3" w:rsidRDefault="00877F02" w:rsidP="00E50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Each tender received will be assessed on the basis of the following award criteria</w:t>
      </w:r>
      <w:bookmarkStart w:id="0" w:name="_GoBack"/>
      <w:bookmarkEnd w:id="0"/>
    </w:p>
    <w:tbl>
      <w:tblPr>
        <w:tblStyle w:val="GridTable1Light"/>
        <w:tblW w:w="0" w:type="auto"/>
        <w:tblLayout w:type="fixed"/>
        <w:tblLook w:val="0000"/>
      </w:tblPr>
      <w:tblGrid>
        <w:gridCol w:w="6091"/>
        <w:gridCol w:w="2409"/>
      </w:tblGrid>
      <w:tr w:rsidR="00E505D3" w:rsidTr="00877F02">
        <w:trPr>
          <w:trHeight w:val="110"/>
        </w:trPr>
        <w:tc>
          <w:tcPr>
            <w:tcW w:w="6091" w:type="dxa"/>
          </w:tcPr>
          <w:p w:rsidR="00E505D3" w:rsidRDefault="00E505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Award Criteria </w:t>
            </w:r>
          </w:p>
        </w:tc>
        <w:tc>
          <w:tcPr>
            <w:tcW w:w="2409" w:type="dxa"/>
          </w:tcPr>
          <w:p w:rsidR="00E505D3" w:rsidRDefault="00E505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Marks Available </w:t>
            </w:r>
          </w:p>
        </w:tc>
      </w:tr>
      <w:tr w:rsidR="00877F02" w:rsidTr="00877F02">
        <w:trPr>
          <w:trHeight w:val="110"/>
        </w:trPr>
        <w:tc>
          <w:tcPr>
            <w:tcW w:w="6091" w:type="dxa"/>
          </w:tcPr>
          <w:p w:rsidR="00877F02" w:rsidRDefault="00877F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knowledge and understanding of the brief </w:t>
            </w:r>
          </w:p>
        </w:tc>
        <w:tc>
          <w:tcPr>
            <w:tcW w:w="2409" w:type="dxa"/>
          </w:tcPr>
          <w:p w:rsidR="00877F02" w:rsidRDefault="00877F02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 </w:t>
            </w:r>
          </w:p>
        </w:tc>
      </w:tr>
      <w:tr w:rsidR="00877F02" w:rsidTr="00877F02">
        <w:trPr>
          <w:trHeight w:val="110"/>
        </w:trPr>
        <w:tc>
          <w:tcPr>
            <w:tcW w:w="6091" w:type="dxa"/>
          </w:tcPr>
          <w:p w:rsidR="00877F02" w:rsidRDefault="00877F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Track record in relevant work </w:t>
            </w:r>
          </w:p>
        </w:tc>
        <w:tc>
          <w:tcPr>
            <w:tcW w:w="2409" w:type="dxa"/>
          </w:tcPr>
          <w:p w:rsidR="00877F02" w:rsidRDefault="00877F02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</w:tr>
      <w:tr w:rsidR="00877F02" w:rsidTr="00877F02">
        <w:trPr>
          <w:trHeight w:val="265"/>
        </w:trPr>
        <w:tc>
          <w:tcPr>
            <w:tcW w:w="6091" w:type="dxa"/>
          </w:tcPr>
          <w:p w:rsidR="00877F02" w:rsidRDefault="00877F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using methodologies as outlined in the project description </w:t>
            </w:r>
          </w:p>
        </w:tc>
        <w:tc>
          <w:tcPr>
            <w:tcW w:w="2409" w:type="dxa"/>
          </w:tcPr>
          <w:p w:rsidR="00877F02" w:rsidRDefault="00877F02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</w:tr>
      <w:tr w:rsidR="00877F02" w:rsidTr="00877F02">
        <w:trPr>
          <w:trHeight w:val="110"/>
        </w:trPr>
        <w:tc>
          <w:tcPr>
            <w:tcW w:w="6091" w:type="dxa"/>
          </w:tcPr>
          <w:p w:rsidR="00877F02" w:rsidRDefault="00877F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Availability to carry out the project within the stated timeframe </w:t>
            </w:r>
          </w:p>
        </w:tc>
        <w:tc>
          <w:tcPr>
            <w:tcW w:w="2409" w:type="dxa"/>
          </w:tcPr>
          <w:p w:rsidR="00877F02" w:rsidRDefault="00877F02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</w:tr>
      <w:tr w:rsidR="00877F02" w:rsidTr="00877F02">
        <w:trPr>
          <w:trHeight w:val="110"/>
        </w:trPr>
        <w:tc>
          <w:tcPr>
            <w:tcW w:w="6091" w:type="dxa"/>
          </w:tcPr>
          <w:p w:rsidR="00877F02" w:rsidRDefault="00877F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Price </w:t>
            </w:r>
          </w:p>
        </w:tc>
        <w:tc>
          <w:tcPr>
            <w:tcW w:w="2409" w:type="dxa"/>
          </w:tcPr>
          <w:p w:rsidR="00877F02" w:rsidRDefault="00877F02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</w:tr>
      <w:tr w:rsidR="00E505D3" w:rsidTr="00877F02">
        <w:trPr>
          <w:trHeight w:val="110"/>
        </w:trPr>
        <w:tc>
          <w:tcPr>
            <w:tcW w:w="6091" w:type="dxa"/>
          </w:tcPr>
          <w:p w:rsidR="00E505D3" w:rsidRDefault="00E505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Marks </w:t>
            </w:r>
          </w:p>
        </w:tc>
        <w:tc>
          <w:tcPr>
            <w:tcW w:w="2409" w:type="dxa"/>
          </w:tcPr>
          <w:p w:rsidR="00E505D3" w:rsidRDefault="00E505D3" w:rsidP="00877F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</w:tr>
    </w:tbl>
    <w:p w:rsidR="00E505D3" w:rsidRDefault="00E505D3" w:rsidP="00E505D3"/>
    <w:sectPr w:rsidR="00E505D3" w:rsidSect="00B40BC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71" w:rsidRDefault="001E5C71" w:rsidP="001E5C71">
      <w:pPr>
        <w:spacing w:after="0" w:line="240" w:lineRule="auto"/>
      </w:pPr>
      <w:r>
        <w:separator/>
      </w:r>
    </w:p>
  </w:endnote>
  <w:end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71" w:rsidRDefault="001E5C71" w:rsidP="001E5C71">
      <w:pPr>
        <w:spacing w:after="0" w:line="240" w:lineRule="auto"/>
      </w:pPr>
      <w:r>
        <w:separator/>
      </w:r>
    </w:p>
  </w:footnote>
  <w:foot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71" w:rsidRDefault="00464615">
    <w:pPr>
      <w:pStyle w:val="Header"/>
    </w:pPr>
    <w:r>
      <w:rPr>
        <w:noProof/>
        <w:lang w:eastAsia="en-IE"/>
      </w:rPr>
      <w:pict>
        <v:rect id="Rectangle 4" o:spid="_x0000_s2049" style="position:absolute;margin-left:-1.5pt;margin-top:1.5pt;width:55.1pt;height:852.4pt;z-index:-251658752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" fillcolor="#538135 [2409]" stroked="f" strokeweight="1pt">
          <v:textbox>
            <w:txbxContent>
              <w:p w:rsidR="001E5C71" w:rsidRPr="001E5C71" w:rsidRDefault="001E5C71" w:rsidP="001E5C71">
                <w:pPr>
                  <w:rPr>
                    <w:rFonts w:eastAsia="Times New Roman"/>
                    <w:color w:val="538135" w:themeColor="accent6" w:themeShade="BF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483"/>
    <w:multiLevelType w:val="hybridMultilevel"/>
    <w:tmpl w:val="86A01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7DCD"/>
    <w:multiLevelType w:val="hybridMultilevel"/>
    <w:tmpl w:val="0EA67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DCA"/>
    <w:multiLevelType w:val="hybridMultilevel"/>
    <w:tmpl w:val="E238FC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1DC7"/>
    <w:multiLevelType w:val="hybridMultilevel"/>
    <w:tmpl w:val="151AC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511F5"/>
    <w:multiLevelType w:val="hybridMultilevel"/>
    <w:tmpl w:val="4BE4CF52"/>
    <w:lvl w:ilvl="0" w:tplc="A8EABB24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01DF5"/>
    <w:multiLevelType w:val="hybridMultilevel"/>
    <w:tmpl w:val="CEC63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86E49"/>
    <w:multiLevelType w:val="hybridMultilevel"/>
    <w:tmpl w:val="75944D08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3072C"/>
    <w:multiLevelType w:val="hybridMultilevel"/>
    <w:tmpl w:val="A4C484BA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D15FE"/>
    <w:multiLevelType w:val="hybridMultilevel"/>
    <w:tmpl w:val="CCF8CD76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1CD"/>
    <w:multiLevelType w:val="hybridMultilevel"/>
    <w:tmpl w:val="D900930C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E036C"/>
    <w:multiLevelType w:val="hybridMultilevel"/>
    <w:tmpl w:val="DE46B25A"/>
    <w:lvl w:ilvl="0" w:tplc="A8EABB24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50FF"/>
    <w:multiLevelType w:val="hybridMultilevel"/>
    <w:tmpl w:val="32184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33451"/>
    <w:multiLevelType w:val="hybridMultilevel"/>
    <w:tmpl w:val="7EDC5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C3758"/>
    <w:multiLevelType w:val="hybridMultilevel"/>
    <w:tmpl w:val="FE02325A"/>
    <w:lvl w:ilvl="0" w:tplc="A08C8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C71C6"/>
    <w:multiLevelType w:val="hybridMultilevel"/>
    <w:tmpl w:val="A8BA630E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C71"/>
    <w:rsid w:val="001A6231"/>
    <w:rsid w:val="001E5C71"/>
    <w:rsid w:val="0037160A"/>
    <w:rsid w:val="003906C3"/>
    <w:rsid w:val="0041631F"/>
    <w:rsid w:val="00464615"/>
    <w:rsid w:val="005A013E"/>
    <w:rsid w:val="00616634"/>
    <w:rsid w:val="006E5C75"/>
    <w:rsid w:val="00877F02"/>
    <w:rsid w:val="00B40BC0"/>
    <w:rsid w:val="00C45FDA"/>
    <w:rsid w:val="00C50A34"/>
    <w:rsid w:val="00E505D3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C0"/>
  </w:style>
  <w:style w:type="paragraph" w:styleId="Heading1">
    <w:name w:val="heading 1"/>
    <w:basedOn w:val="Normal"/>
    <w:next w:val="Normal"/>
    <w:link w:val="Heading1Char"/>
    <w:uiPriority w:val="9"/>
    <w:qFormat/>
    <w:rsid w:val="001E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71"/>
  </w:style>
  <w:style w:type="paragraph" w:styleId="Footer">
    <w:name w:val="footer"/>
    <w:basedOn w:val="Normal"/>
    <w:link w:val="Foot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71"/>
  </w:style>
  <w:style w:type="paragraph" w:styleId="ListParagraph">
    <w:name w:val="List Paragraph"/>
    <w:basedOn w:val="Normal"/>
    <w:uiPriority w:val="34"/>
    <w:qFormat/>
    <w:rsid w:val="001E5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C71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C7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Default">
    <w:name w:val="Default"/>
    <w:rsid w:val="00E50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877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Irwin</dc:creator>
  <cp:lastModifiedBy>dbrassil</cp:lastModifiedBy>
  <cp:revision>3</cp:revision>
  <dcterms:created xsi:type="dcterms:W3CDTF">2017-12-06T16:24:00Z</dcterms:created>
  <dcterms:modified xsi:type="dcterms:W3CDTF">2017-12-06T16:28:00Z</dcterms:modified>
</cp:coreProperties>
</file>